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color w:val="000000"/>
          <w:sz w:val="60"/>
          <w:szCs w:val="60"/>
        </w:rPr>
      </w:pPr>
      <w:r>
        <w:rPr>
          <w:rFonts w:ascii="StoneSansStd-Bold" w:hAnsi="StoneSansStd-Bold" w:cs="StoneSansStd-Bold"/>
          <w:b/>
          <w:bCs/>
          <w:color w:val="000000"/>
          <w:sz w:val="60"/>
          <w:szCs w:val="60"/>
        </w:rPr>
        <w:t>Federal Laws Governing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color w:val="000000"/>
          <w:sz w:val="60"/>
          <w:szCs w:val="60"/>
        </w:rPr>
      </w:pPr>
      <w:r>
        <w:rPr>
          <w:rFonts w:ascii="StoneSansStd-Bold" w:hAnsi="StoneSansStd-Bold" w:cs="StoneSansStd-Bold"/>
          <w:b/>
          <w:bCs/>
          <w:color w:val="000000"/>
          <w:sz w:val="60"/>
          <w:szCs w:val="60"/>
        </w:rPr>
        <w:t>Child Abuse &amp; Neglect Cases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THE CHILD ABUSE PREVENTION &amp;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TREATMENT ACT OF 1974 (PL 93-247),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AMENDED IN 1996 (PL 104-235)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</w:pPr>
      <w:r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  <w:t>Background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From a historical perspective, we are still relatively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new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to the concepts of protecting abused and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neglected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children and developing appropriate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systems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, methods, and programs to cope with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problems of these children and their families.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Although every state had enacted a child abuse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reporting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law by 1965, the child welfare system was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not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adequately protecting children and their families.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During the 1970s, the United States Congress became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aware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of this problem and enacted the Child Abuse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Prevention and Treatment Act of 1974 (CAPTA).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This legislation earmarked federal funds for states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to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establish special programs for child victims of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abuse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or neglect. It also mandated the appointment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of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guardians ad litem to represent children. Since its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enactment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in 1974, CAPTA has been amended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several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times.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</w:pPr>
      <w:r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  <w:t>Summary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federal Child Abuse Prevention and Treatment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Act, along with its implementing regulations, requires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states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that receive federal funds for their state child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protective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services programs to adhere to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following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requirements: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1. The state must have a statute mandating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reporting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of child abuse and neglect.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2. Upon receipt of a report of suspected abuse/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neglect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, the state (a) must determine if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report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meets the definition of child abuse/neglect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under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state law, (b) conduct an assessment of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safety of all children under the care of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suspected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abuser, (c) begin a prompt investigation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of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the report, and (d) take steps to ensure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safety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of all children under the care of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suspected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abuser, including removal of them to a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safe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environment.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Though most of the law governing child protection,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foster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care, adoption, and juvenile court proceedings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originates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with state legislatures, state law is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influenced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significantly by several federal statutes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enacted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since 1974. Under these federal laws, states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receive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billions of dollars each year for the support of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their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child protective services system, foster care, and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adoption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services. They are required to comply with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lastRenderedPageBreak/>
        <w:t>the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provisions set out in the Child Abuse Prevention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and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Treatment Act of 1974 (CAPTA), the Adoption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Assistance and Child Welfare Act of 1980 (AACWA),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and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the Adoption and Safe Families Act of 1997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(ASFA) as a condition of receiving these federal funds.</w:t>
      </w:r>
      <w:proofErr w:type="gramEnd"/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Under AACWA, states receive federal funds to offset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costs of providing a wide range of child welfare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services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to families and children. These funds may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be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used for, among other things, family support,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preservation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, and reunification services. States also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are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reimbursed for a substantial portion of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money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they pay to foster parents and other care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providers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for the “maintenance” (primarily room and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board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) of a child in foster care. Federal funds pay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portion of the staff training costs, administrative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costs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, adoption assistance payments to parents of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special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needs children, and the information systems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developed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by state agencies for their child welfare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systems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. The following federal laws will be examined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in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greater depth: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• The Child Abuse Prevention and Treatment Act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of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1974 (amended in 1996)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• The Indian Child Welfare Act of 1978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• The Adoption Assistance and Child Welfare Act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of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1980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• The Multi-Ethnic Placement Act of 1994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• The Adoption and Safe Families Act of 1997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• The Foster Care Independence Act of 1999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• The Volunteer Protection Act of 1997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color w:val="666666"/>
          <w:sz w:val="18"/>
          <w:szCs w:val="18"/>
        </w:rPr>
      </w:pPr>
      <w:r>
        <w:rPr>
          <w:rFonts w:ascii="StoneSansStd-Bold" w:hAnsi="StoneSansStd-Bold" w:cs="StoneSansStd-Bold"/>
          <w:b/>
          <w:bCs/>
          <w:color w:val="666666"/>
          <w:sz w:val="18"/>
          <w:szCs w:val="18"/>
        </w:rPr>
        <w:t>National CASA Volunteer Manual CD-ROM CD2-4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3. The state must have specific procedures or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programs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for responding to reports of medical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neglect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, including instances of withholding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medically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indicated treatment from disabled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infants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with life-threatening conditions.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4. The state must define “child abuse” and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“</w:t>
      </w: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neglect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” in accordance with federal statutes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and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regulations.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5. The state must submit a state program plan to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federal government every five years to remain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eligible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for federal funding.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6. The state must provide a guardian ad litem to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every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abused or neglected child whose case results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in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 judicial proceeding. The guardian ad litem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may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be an attorney or CASA (or both) whose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responsibilities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include completing an independent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investigation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of the child’s situation and needs,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determining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what actions are in the best interest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of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the child, and making recommendations to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court.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7. The state must maintain the confidentiality of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protective services records but make them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available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to persons who are the subject of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lastRenderedPageBreak/>
        <w:t>report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, government agencies overseeing the state’s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protective services program, child abuse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citizen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review and fatality review panels, a grand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jury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or court, and other agencies or persons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authorized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by state law. The state may refuse to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disclose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the identity of the person who made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report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of suspected abuse unless a court has found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that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the reporter knowingly made a false report.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8. State law must provide immunity from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prosecution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for persons who make good faith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reports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of suspected abuse/neglect.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9. Records of false or unsubstantiated reports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of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suspected abuse must be deleted from any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database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accessible to the public or used for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employment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or background checks. However, a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protective services agency may keep this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information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in its files for use in risk and safety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assessments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10. State law must not require reunification of a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surviving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child with a parent who is convicted of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murder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of one of his/her children or an assault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resulting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in serious bodily injury to a child. In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addition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, state law must provide that conviction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of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one of these crimes against children is sufficient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grounds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for terminating parental rights.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11. State law must establish at least three </w:t>
      </w: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citizen</w:t>
      </w:r>
      <w:proofErr w:type="gramEnd"/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review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panels whose role is to determine if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state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and local agencies are carrying out their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responsibilities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for child protection under state law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and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professional standards.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12. State law must provide a procedure whereby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persons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with an official finding of substantiated or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founded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abuse can appeal that finding.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13. State law must require the disclosure to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general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public of information about individual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cases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of child abuse or neglect that resulted in a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child’s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death or near death.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18"/>
          <w:szCs w:val="18"/>
        </w:rPr>
      </w:pPr>
      <w:r>
        <w:rPr>
          <w:rFonts w:ascii="StoneSansStd-Medium" w:hAnsi="StoneSansStd-Medium" w:cs="StoneSansStd-Medium"/>
          <w:color w:val="000000"/>
          <w:sz w:val="18"/>
          <w:szCs w:val="18"/>
        </w:rPr>
        <w:t>Synopsis prepared in October 1995 by Jill Moore,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18"/>
          <w:szCs w:val="18"/>
        </w:rPr>
      </w:pPr>
      <w:proofErr w:type="gramStart"/>
      <w:r>
        <w:rPr>
          <w:rFonts w:ascii="StoneSansStd-Medium" w:hAnsi="StoneSansStd-Medium" w:cs="StoneSansStd-Medium"/>
          <w:color w:val="000000"/>
          <w:sz w:val="18"/>
          <w:szCs w:val="18"/>
        </w:rPr>
        <w:t>UNC law student.</w:t>
      </w:r>
      <w:proofErr w:type="gramEnd"/>
      <w:r>
        <w:rPr>
          <w:rFonts w:ascii="StoneSansStd-Medium" w:hAnsi="StoneSansStd-Medium" w:cs="StoneSansStd-Medium"/>
          <w:color w:val="000000"/>
          <w:sz w:val="18"/>
          <w:szCs w:val="18"/>
        </w:rPr>
        <w:t xml:space="preserve"> Updated in May 2000 by William L. Grimm,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18"/>
          <w:szCs w:val="18"/>
        </w:rPr>
      </w:pPr>
      <w:proofErr w:type="gramStart"/>
      <w:r>
        <w:rPr>
          <w:rFonts w:ascii="StoneSansStd-Medium" w:hAnsi="StoneSansStd-Medium" w:cs="StoneSansStd-Medium"/>
          <w:color w:val="000000"/>
          <w:sz w:val="18"/>
          <w:szCs w:val="18"/>
        </w:rPr>
        <w:t>staff</w:t>
      </w:r>
      <w:proofErr w:type="gramEnd"/>
      <w:r>
        <w:rPr>
          <w:rFonts w:ascii="StoneSansStd-Medium" w:hAnsi="StoneSansStd-Medium" w:cs="StoneSansStd-Medium"/>
          <w:color w:val="000000"/>
          <w:sz w:val="18"/>
          <w:szCs w:val="18"/>
        </w:rPr>
        <w:t xml:space="preserve"> attorney, National Center for Youth Law.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THE INDIAN CHILD WELFARE ACT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OF 1978 (PL 95-608)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</w:pPr>
      <w:r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  <w:t>Background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Indian Child Welfare Act (ICWA) was a response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to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Congressional findings that there was a need for a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federal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law to prevent state courts and social workers,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well as private agencies, from further destruction of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American Indian family caused by unwarranted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removal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of Indian children from their tribes and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families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. ICWA acknowledges the loss of Indian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culture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resulting from historical government policies,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such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as separating Indian children completely from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their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tribe, placing them in boarding schools, and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forbidding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them to speak their native language. In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lastRenderedPageBreak/>
        <w:t>an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effort to “civilize” and assimilate Indians into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mainstream, a decision was reached in the early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1800s to start with the children.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Bureau of Indian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Affairs (BIA) agents and social workers were given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cash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incentives based on the head count of children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taken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away from their tribes and placed in non-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Indian institutions and adoptive homes—usually far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from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home. The Indian Civilization Act was passed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in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1810 to facilitate the removal of children in an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attempt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to assimilate them into Anglo-America.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Subsequently, non-Indian caseworkers, courts, and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agencies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continued to see the Indian family structure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alien, foreign, and undesirable, so the process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of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adoptions by non-Indians occurred in wholesale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numbers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. The sense of loss and devastation not only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tore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away the child’s heritage and foundation, it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nearly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destroyed the Indian family unit and the tribal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government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structure.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color w:val="666666"/>
          <w:sz w:val="18"/>
          <w:szCs w:val="18"/>
        </w:rPr>
      </w:pPr>
      <w:r>
        <w:rPr>
          <w:rFonts w:ascii="StoneSansStd-Bold" w:hAnsi="StoneSansStd-Bold" w:cs="StoneSansStd-Bold"/>
          <w:b/>
          <w:bCs/>
          <w:color w:val="666666"/>
          <w:sz w:val="18"/>
          <w:szCs w:val="18"/>
        </w:rPr>
        <w:t>National CASA Volunteer Manual CD-ROM CD2-5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Indian Child Welfare Act was established to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strengthen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the participation by Indian tribes when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placement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of Indian children is being considered. It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establishes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requirements for child-placing agencies to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follow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when placing Indian children.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</w:pPr>
      <w:r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  <w:t>Summary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Children who are members of an Indian tribe, or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who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are the biological children of a member of an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Indian tribe and are eligible for membership in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tribe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themselves, may only be placed in foster care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for adoption according to the requirements of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Indian Child Welfare Act. The child’s tribe is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final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determinant of who is a member of the Indian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community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entitled to ICWA coverage. When ICWA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coverage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applies in a child’s case, it takes precedence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over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other federal or state legislation.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If a state agency initiates </w:t>
      </w: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an Indian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child custody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proceeding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on the reservation, jurisdiction belongs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exclusively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with the tribe. When the proceeding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is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off-reservation, the case must be transferred to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tribe upon the request of the tribe unless there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is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“good cause to the contrary,” as set forth in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Department of the Interior’s 1979 BIA “Guidelines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for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State Courts,” Indian Child Custody Proceedings.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Some of the reasons not to transfer include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following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: parents object; child is over twelve and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he/she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objects; or the case is at an advanced stage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and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all witnesses are off-reservation. The state court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cannot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look at the economics of the family or tribe in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making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the decision not to transfer. Likewise, the state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court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cannot look at what it might deem “in the best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interest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of the child,” since the law presumes that it is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always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in the best interest of an Indian child to have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his/her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own people determine what is proper for his/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lastRenderedPageBreak/>
        <w:t>her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future.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ICWA sets forth the following requirements: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1. State court proceedings for foster care placement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termination of parental rights that involve an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Indian child must be transferred to the jurisdiction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of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the tribe unless they meet one of the exceptions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outlined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in the 1979 BIA “Guidelines for State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Courts.”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2. A state court faced with pending proceedings for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foster care placement of an Indian child or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termination of parental rights must notify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child’s parent, custodian, or tribe of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proceedings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3. An Indian child may not be placed in foster care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unless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there is a determination, supported by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clear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and convincing evidence, that the child will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likely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suffer serious emotional or physical damage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if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left in the custody of his/her parent or Indian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custodian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4. An Indian child’s parents may not have their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parental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rights terminated unless there is a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determination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, supported by evidence beyond a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reasonable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doubt, that the child is likely to suffer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serious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emotional or physical damage if left in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custody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of his/her parent or Indian custodian.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5. Voluntary consents to foster care placement or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termination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of parental rights that involve Indian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children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are not valid unless executed in writing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before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 judge and accompanied by the judge’s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certificate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that the terms and consequences of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consent were fully explained to and fully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understood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by the parent or Indian custodian.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• Voluntary consents to foster care placement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may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be withdrawn at any time.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• Voluntary consents to termination of parental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rights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or adoption may be withdrawn at any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time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before the final decree of termination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adoption is issued—and up to two years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thereafter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upon a showing of fraud or duress.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6. </w:t>
      </w: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In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adoptions of Indian children, preferences for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placement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must be accorded as follows: (1) to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member of the child’s extended family; (2) to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other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members of the child’s tribe; and (3) to other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Indian families.</w:t>
      </w:r>
      <w:proofErr w:type="gramEnd"/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7. In foster care or </w:t>
      </w:r>
      <w:proofErr w:type="spell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preadoptive</w:t>
      </w:r>
      <w:proofErr w:type="spell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placements of Indian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children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, preferences for placement must be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accorded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as follows: (1) to a member of the child’s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extended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family; (2) to a foster home licensed or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approved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or specified by the child’s tribe; (3) to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Indian foster home licensed or approved by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authorized non-Indian licensing authority;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and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(4) to an institution for children approved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by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an Indian tribe or operated by an Indian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lastRenderedPageBreak/>
        <w:t>organization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that has a program suited to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child’s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needs.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18"/>
          <w:szCs w:val="18"/>
        </w:rPr>
      </w:pPr>
      <w:r>
        <w:rPr>
          <w:rFonts w:ascii="StoneSansStd-Medium" w:hAnsi="StoneSansStd-Medium" w:cs="StoneSansStd-Medium"/>
          <w:color w:val="000000"/>
          <w:sz w:val="18"/>
          <w:szCs w:val="18"/>
        </w:rPr>
        <w:t>Synopsis prepared in October 1995 by Jill Moore,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18"/>
          <w:szCs w:val="18"/>
        </w:rPr>
      </w:pPr>
      <w:proofErr w:type="gramStart"/>
      <w:r>
        <w:rPr>
          <w:rFonts w:ascii="StoneSansStd-Medium" w:hAnsi="StoneSansStd-Medium" w:cs="StoneSansStd-Medium"/>
          <w:color w:val="000000"/>
          <w:sz w:val="18"/>
          <w:szCs w:val="18"/>
        </w:rPr>
        <w:t>UNC law student.</w:t>
      </w:r>
      <w:proofErr w:type="gramEnd"/>
      <w:r>
        <w:rPr>
          <w:rFonts w:ascii="StoneSansStd-Medium" w:hAnsi="StoneSansStd-Medium" w:cs="StoneSansStd-Medium"/>
          <w:color w:val="000000"/>
          <w:sz w:val="18"/>
          <w:szCs w:val="18"/>
        </w:rPr>
        <w:t xml:space="preserve"> Updated in May 2000 by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18"/>
          <w:szCs w:val="18"/>
        </w:rPr>
      </w:pPr>
      <w:r>
        <w:rPr>
          <w:rFonts w:ascii="StoneSansStd-Medium" w:hAnsi="StoneSansStd-Medium" w:cs="StoneSansStd-Medium"/>
          <w:color w:val="000000"/>
          <w:sz w:val="18"/>
          <w:szCs w:val="18"/>
        </w:rPr>
        <w:t>Evelyn M. Stevenson, tribal attorney, Confederated Salish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18"/>
          <w:szCs w:val="18"/>
        </w:rPr>
      </w:pPr>
      <w:proofErr w:type="gramStart"/>
      <w:r>
        <w:rPr>
          <w:rFonts w:ascii="StoneSansStd-Medium" w:hAnsi="StoneSansStd-Medium" w:cs="StoneSansStd-Medium"/>
          <w:color w:val="000000"/>
          <w:sz w:val="18"/>
          <w:szCs w:val="18"/>
        </w:rPr>
        <w:t>and</w:t>
      </w:r>
      <w:proofErr w:type="gramEnd"/>
      <w:r>
        <w:rPr>
          <w:rFonts w:ascii="StoneSansStd-Medium" w:hAnsi="StoneSansStd-Medium" w:cs="StoneSansStd-Medium"/>
          <w:color w:val="000000"/>
          <w:sz w:val="18"/>
          <w:szCs w:val="18"/>
        </w:rPr>
        <w:t xml:space="preserve"> Kootenai Tribes of the Flathead Nation.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color w:val="666666"/>
          <w:sz w:val="18"/>
          <w:szCs w:val="18"/>
        </w:rPr>
      </w:pPr>
      <w:r>
        <w:rPr>
          <w:rFonts w:ascii="StoneSansStd-Bold" w:hAnsi="StoneSansStd-Bold" w:cs="StoneSansStd-Bold"/>
          <w:b/>
          <w:bCs/>
          <w:color w:val="666666"/>
          <w:sz w:val="18"/>
          <w:szCs w:val="18"/>
        </w:rPr>
        <w:t>National CASA Volunteer Manual CD-ROM CD2-6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THE ADOPTION ASSISTANCE &amp; CHILD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WELFARE ACT OF 1980 (PL 96-272)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</w:pPr>
      <w:r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  <w:t>Background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This law is a blueprint for combined efforts to preserve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families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and, if necessary, to build new families for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children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. It was adopted because insufficient services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spellStart"/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were</w:t>
      </w:r>
      <w:proofErr w:type="spellEnd"/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being provided to keep families together,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inappropriate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placements of children were being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made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, disincentives for adoption existed, foster care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was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prolonged resulting in a lack of permanency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for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children, and there was a lack of information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about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children in foster care. The intention of the law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was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to prevent the breakup of families and provide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permanency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planning for children.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</w:pPr>
      <w:r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  <w:t>Summary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federal Adoption Assistance and Child Welfare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Act, along with its implementing regulations, requires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states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that receive federal funds for assistance with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foster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care maintenance and adoption assistance to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adhere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to the following requirements: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1. The state must have a plan for child welfare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services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that: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• Provides for the diligent recruitment of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potential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foster and adoptive families that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reflect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the ethnic and racial diversity of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children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needing such care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• Describes the measures taken by the state to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comply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with the Indian Child Welfare Act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• Provides assurances that: (1) the state has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completed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an inventory of all foster children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who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have been in care for six months or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more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; (2) the state is operating a statewide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information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system regarding children in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foster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care; (3) the state is operating a case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review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system for children in foster care; (4)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state is operating a service program to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help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children return to their families or be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placed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permanently; (5) the state is operating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program designed to help children at risk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of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being placed in foster care remain with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their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families; and (6) the state has reviewed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its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policies and procedures for children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abandoned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at or shortly after birth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2. The state agency administering the state plan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must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report known or suspected cases of abuse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neglect among children receiving foster care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maintenance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payments or adoption assistance aid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lastRenderedPageBreak/>
        <w:t>to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the appropriate state agency.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3. The state must establish standards for foster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family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homes and review the standards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periodically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4. In its state plan, the state must set specific goals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to the maximum number of children who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will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be in foster care for more than twenty-four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months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, and describe the steps it will take to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meet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the goal of decreasing the length of stay for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children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in care.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5. The state must make “reasonable efforts” (a)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prior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to the placement of a child in foster care,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to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prevent or eliminate the need for removal of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child from his/her home, and (b) to make it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possible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for the child to return to his/her home.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There is a greater burden to prove “reasonable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efforts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” when the Indian Child Welfare Act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applies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. </w:t>
      </w:r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(Note: Under the Adoption and Safe Families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</w:pPr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Act of 1997, the safety of the child must be of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</w:pPr>
      <w:proofErr w:type="gramStart"/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paramount</w:t>
      </w:r>
      <w:proofErr w:type="gramEnd"/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 xml:space="preserve"> concern when making decisions regarding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</w:pPr>
      <w:proofErr w:type="gramStart"/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reasonable</w:t>
      </w:r>
      <w:proofErr w:type="gramEnd"/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 xml:space="preserve"> efforts.)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6. The state must develop a case plan for every child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in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foster care who receives foster care maintenance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payments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and must provide a case review system.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7. </w:t>
      </w: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Under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the case review system, the status of each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must be reviewed at least every six months,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either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by a court or by administrative review.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8. The state must have a procedure or system by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which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parents may revoke voluntary placement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agreements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and the child may be returned to them.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9. The state must provide a dispositional hearing for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every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child in foster care no later than eighteen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months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after the original placement and every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twelve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months thereafter while the child’s foster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care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continues. </w:t>
      </w:r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(Note: Under the Adoption and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</w:pPr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Safe Families Act of 1997, the hearings are called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</w:pPr>
      <w:proofErr w:type="gramStart"/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permanency</w:t>
      </w:r>
      <w:proofErr w:type="gramEnd"/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 xml:space="preserve"> hearings and must be held within twelve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</w:pPr>
      <w:proofErr w:type="gramStart"/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months</w:t>
      </w:r>
      <w:proofErr w:type="gramEnd"/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 xml:space="preserve"> after the date of the initial order removing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</w:pPr>
      <w:proofErr w:type="gramStart"/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custody</w:t>
      </w:r>
      <w:proofErr w:type="gramEnd"/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 xml:space="preserve"> and at least every six months thereafter.)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10. The state must have a data collection and reporting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system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that includes information about children in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foster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care and children placed for adoption.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18"/>
          <w:szCs w:val="18"/>
        </w:rPr>
      </w:pPr>
      <w:r>
        <w:rPr>
          <w:rFonts w:ascii="StoneSansStd-Medium" w:hAnsi="StoneSansStd-Medium" w:cs="StoneSansStd-Medium"/>
          <w:color w:val="000000"/>
          <w:sz w:val="18"/>
          <w:szCs w:val="18"/>
        </w:rPr>
        <w:t>Synopsis prepared in October 1995 by Jill Moore,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18"/>
          <w:szCs w:val="18"/>
        </w:rPr>
      </w:pPr>
      <w:proofErr w:type="gramStart"/>
      <w:r>
        <w:rPr>
          <w:rFonts w:ascii="StoneSansStd-Medium" w:hAnsi="StoneSansStd-Medium" w:cs="StoneSansStd-Medium"/>
          <w:color w:val="000000"/>
          <w:sz w:val="18"/>
          <w:szCs w:val="18"/>
        </w:rPr>
        <w:t>UNC law student.</w:t>
      </w:r>
      <w:proofErr w:type="gramEnd"/>
      <w:r>
        <w:rPr>
          <w:rFonts w:ascii="StoneSansStd-Medium" w:hAnsi="StoneSansStd-Medium" w:cs="StoneSansStd-Medium"/>
          <w:color w:val="000000"/>
          <w:sz w:val="18"/>
          <w:szCs w:val="18"/>
        </w:rPr>
        <w:t xml:space="preserve"> Updated in May 2000 by William L. Grimm,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18"/>
          <w:szCs w:val="18"/>
        </w:rPr>
      </w:pPr>
      <w:proofErr w:type="gramStart"/>
      <w:r>
        <w:rPr>
          <w:rFonts w:ascii="StoneSansStd-Medium" w:hAnsi="StoneSansStd-Medium" w:cs="StoneSansStd-Medium"/>
          <w:color w:val="000000"/>
          <w:sz w:val="18"/>
          <w:szCs w:val="18"/>
        </w:rPr>
        <w:t>staff</w:t>
      </w:r>
      <w:proofErr w:type="gramEnd"/>
      <w:r>
        <w:rPr>
          <w:rFonts w:ascii="StoneSansStd-Medium" w:hAnsi="StoneSansStd-Medium" w:cs="StoneSansStd-Medium"/>
          <w:color w:val="000000"/>
          <w:sz w:val="18"/>
          <w:szCs w:val="18"/>
        </w:rPr>
        <w:t xml:space="preserve"> attorney, National Center for Youth Law.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color w:val="666666"/>
          <w:sz w:val="18"/>
          <w:szCs w:val="18"/>
        </w:rPr>
      </w:pPr>
      <w:r>
        <w:rPr>
          <w:rFonts w:ascii="StoneSansStd-Bold" w:hAnsi="StoneSansStd-Bold" w:cs="StoneSansStd-Bold"/>
          <w:b/>
          <w:bCs/>
          <w:color w:val="666666"/>
          <w:sz w:val="18"/>
          <w:szCs w:val="18"/>
        </w:rPr>
        <w:t>National CASA Volunteer Manual CD-ROM CD2-7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THE MULTI-ETHNIC PLACEMENT ACT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OF 1994 &amp; INTER-ETHNIC ADOPTION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PROVISIONS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</w:pPr>
      <w:r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  <w:t>Background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Increasing awareness of the damage done to children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when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they are moved from one non-permanent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placement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to another brought attention to children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whose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placements were determined solely, or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lastRenderedPageBreak/>
        <w:t>primarily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, on the basis of race. Additionally, public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attention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was focused on the high percentage of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children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of color who come into care and who remain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in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care for long periods of time. Federal law set out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guidelines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meant to respect the importance of a child’s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culture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and heritage while reducing the time that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children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wait for homes. This legislation also focused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increasing the numbers and diversity of the pool of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available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foster and adoptive families.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</w:pPr>
      <w:r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  <w:t>Summary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The Howard </w:t>
      </w:r>
      <w:proofErr w:type="spell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Metzenbaum</w:t>
      </w:r>
      <w:proofErr w:type="spell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Multi-Ethnic Placement Act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of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1994 (MEPA) prohibits denial or delay of placement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for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foster care or adoption by any agency that receives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federal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funds because of the child’s or foster/adoptive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parent’s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race, color, or national origin. The law was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intended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to: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• Decrease the time children wait to be adopted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• Prevent discrimination in the placement of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children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on the basis of race, color, or national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origin</w:t>
      </w:r>
      <w:proofErr w:type="gramEnd"/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• Prevent discrimination on the basis of race, color,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national origin when selecting foster and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adoptive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placements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• Facilitate the development of a diverse pool of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foster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and adoptive families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 August 1996, Congress amended MEPA with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Inter-Ethnic Adoption Provisions (IEP) in order to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strengthen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its nondiscriminatory provisions and to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provide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stiff penalties for violation of the act.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antidiscrimination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provisions of MEPA-IEP now state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that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any public or private agency or entity that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receives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federal assistance cannot: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• Deny to any person the opportunity to become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adoptive or foster parent on the exclusive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basis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of the race, color, or national origin of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adoptive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or foster parent or the race, color, or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national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origin of the child involved in the foster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adoptive placement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• Delay or deny the placement of a child for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adoption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or into foster care on the basis of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race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>, color, or national origin of the adoptive or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foster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parent or the race, color, or national origin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of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the child involved in the foster care or adoptive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placement</w:t>
      </w:r>
      <w:proofErr w:type="gramEnd"/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MEPA was enacted to encourage transracial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placements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of children when appropriate same-race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placements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are not available. The act specifically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permits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the consideration of a child’s cultural, ethnic,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racial background and the ability of a potential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foster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parent to meet the child’s related needs as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one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of many factors to consider in determining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best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interest of a child. The Department of Health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and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Human Services published a policy guideline in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lastRenderedPageBreak/>
        <w:t>the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Federal Register on April 25, 1995, to be used as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guidelines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for compliance by agencies. An updated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policy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guideline related to the amendment was made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available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in June 1997.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Noncompliance with this act is a violation of Title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VI of the Civil Rights Act of 1964.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Any person who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believes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that he/she has been a victim of a violation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of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the act has a right to bring an action for relief in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appropriate U.S. district court. Any entity found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in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violation of the law will lose considerable federal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matching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funds. MEPA does not affect the Indian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 Welfare Act of 1978.</w:t>
      </w:r>
      <w:proofErr w:type="gramEnd"/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18"/>
          <w:szCs w:val="18"/>
        </w:rPr>
      </w:pPr>
      <w:r>
        <w:rPr>
          <w:rFonts w:ascii="StoneSansStd-Medium" w:hAnsi="StoneSansStd-Medium" w:cs="StoneSansStd-Medium"/>
          <w:color w:val="000000"/>
          <w:sz w:val="18"/>
          <w:szCs w:val="18"/>
        </w:rPr>
        <w:t>Summary prepared for the Alaska Citizens’ Foster Care Review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18"/>
          <w:szCs w:val="18"/>
        </w:rPr>
      </w:pPr>
      <w:proofErr w:type="gramStart"/>
      <w:r>
        <w:rPr>
          <w:rFonts w:ascii="StoneSansStd-Medium" w:hAnsi="StoneSansStd-Medium" w:cs="StoneSansStd-Medium"/>
          <w:color w:val="000000"/>
          <w:sz w:val="18"/>
          <w:szCs w:val="18"/>
        </w:rPr>
        <w:t>Board.</w:t>
      </w:r>
      <w:proofErr w:type="gramEnd"/>
      <w:r>
        <w:rPr>
          <w:rFonts w:ascii="StoneSansStd-Medium" w:hAnsi="StoneSansStd-Medium" w:cs="StoneSansStd-Medium"/>
          <w:color w:val="000000"/>
          <w:sz w:val="18"/>
          <w:szCs w:val="18"/>
        </w:rPr>
        <w:t xml:space="preserve"> </w:t>
      </w:r>
      <w:proofErr w:type="gramStart"/>
      <w:r>
        <w:rPr>
          <w:rFonts w:ascii="StoneSansStd-Medium" w:hAnsi="StoneSansStd-Medium" w:cs="StoneSansStd-Medium"/>
          <w:color w:val="000000"/>
          <w:sz w:val="18"/>
          <w:szCs w:val="18"/>
        </w:rPr>
        <w:t>Author unknown.</w:t>
      </w:r>
      <w:proofErr w:type="gramEnd"/>
      <w:r>
        <w:rPr>
          <w:rFonts w:ascii="StoneSansStd-Medium" w:hAnsi="StoneSansStd-Medium" w:cs="StoneSansStd-Medium"/>
          <w:color w:val="000000"/>
          <w:sz w:val="18"/>
          <w:szCs w:val="18"/>
        </w:rPr>
        <w:t xml:space="preserve"> </w:t>
      </w:r>
      <w:proofErr w:type="gramStart"/>
      <w:r>
        <w:rPr>
          <w:rFonts w:ascii="StoneSansStd-Medium" w:hAnsi="StoneSansStd-Medium" w:cs="StoneSansStd-Medium"/>
          <w:color w:val="000000"/>
          <w:sz w:val="18"/>
          <w:szCs w:val="18"/>
        </w:rPr>
        <w:t>Updated in May 2000 by William L.</w:t>
      </w:r>
      <w:proofErr w:type="gramEnd"/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18"/>
          <w:szCs w:val="18"/>
        </w:rPr>
      </w:pPr>
      <w:proofErr w:type="gramStart"/>
      <w:r>
        <w:rPr>
          <w:rFonts w:ascii="StoneSansStd-Medium" w:hAnsi="StoneSansStd-Medium" w:cs="StoneSansStd-Medium"/>
          <w:color w:val="000000"/>
          <w:sz w:val="18"/>
          <w:szCs w:val="18"/>
        </w:rPr>
        <w:t>Grimm, staff attorney, National Center for Youth Law.</w:t>
      </w:r>
      <w:proofErr w:type="gramEnd"/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THE ADOPTION &amp; SAFE FAMILIES ACT OF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1997 (PL 105-89)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</w:pPr>
      <w:r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  <w:t>Background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While major provisions of federal child welfare law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were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enacted in 1980 (AACWA) and 1997 (ASFA),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there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were important amendments to the federal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law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in the interim. An Independent Living Initiative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was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added in 1986, which was then replaced with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John Chafee Foster Care Independence Program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in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1999. In 1989, as part of the Omnibus Budget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Reconciliation Act, the definition of “case plan” was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modified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to require that health and education records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be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included in the case plan and shared with the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child’s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foster parents. As part of the welfare reform act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(</w:t>
      </w: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Personal Responsibility and Work Opportunities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Reconciliation Act) of 1996, states were directed to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color w:val="000000"/>
          <w:sz w:val="21"/>
          <w:szCs w:val="21"/>
        </w:rPr>
        <w:t>consider</w:t>
      </w:r>
      <w:proofErr w:type="gramEnd"/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 giving preferences to relatives over a non</w:t>
      </w:r>
      <w:r>
        <w:rPr>
          <w:rFonts w:ascii="StoneInformalStd-Medium" w:hAnsi="StoneInformalStd-Medium" w:cs="StoneInformalStd-Medium"/>
          <w:sz w:val="21"/>
          <w:szCs w:val="21"/>
        </w:rPr>
        <w:t>related caregiver when placing a child in foster care.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sz w:val="21"/>
          <w:szCs w:val="21"/>
        </w:rPr>
      </w:pPr>
      <w:r>
        <w:rPr>
          <w:rFonts w:ascii="StoneInformalStd-Medium" w:hAnsi="StoneInformalStd-Medium" w:cs="StoneInformalStd-Medium"/>
          <w:sz w:val="21"/>
          <w:szCs w:val="21"/>
        </w:rPr>
        <w:t>That same act contained a provision allowing federal</w:t>
      </w:r>
    </w:p>
    <w:p w:rsidR="00B05182" w:rsidRDefault="00B05182" w:rsidP="00B05182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sz w:val="21"/>
          <w:szCs w:val="21"/>
        </w:rPr>
      </w:pPr>
      <w:proofErr w:type="gramStart"/>
      <w:r>
        <w:rPr>
          <w:rFonts w:ascii="StoneInformalStd-Medium" w:hAnsi="StoneInformalStd-Medium" w:cs="StoneInformalStd-Medium"/>
          <w:sz w:val="21"/>
          <w:szCs w:val="21"/>
        </w:rPr>
        <w:t>funds</w:t>
      </w:r>
      <w:proofErr w:type="gramEnd"/>
      <w:r>
        <w:rPr>
          <w:rFonts w:ascii="StoneInformalStd-Medium" w:hAnsi="StoneInformalStd-Medium" w:cs="StoneInformalStd-Medium"/>
          <w:sz w:val="21"/>
          <w:szCs w:val="21"/>
        </w:rPr>
        <w:t xml:space="preserve"> to be used to pay for the care of children in</w:t>
      </w:r>
    </w:p>
    <w:p w:rsidR="00BF43C6" w:rsidRDefault="00B05182" w:rsidP="00B05182">
      <w:proofErr w:type="gramStart"/>
      <w:r>
        <w:rPr>
          <w:rFonts w:ascii="StoneInformalStd-Medium" w:hAnsi="StoneInformalStd-Medium" w:cs="StoneInformalStd-Medium"/>
          <w:sz w:val="21"/>
          <w:szCs w:val="21"/>
        </w:rPr>
        <w:t>private</w:t>
      </w:r>
      <w:proofErr w:type="gramEnd"/>
      <w:r>
        <w:rPr>
          <w:rFonts w:ascii="StoneInformalStd-Medium" w:hAnsi="StoneInformalStd-Medium" w:cs="StoneInformalStd-Medium"/>
          <w:sz w:val="21"/>
          <w:szCs w:val="21"/>
        </w:rPr>
        <w:t>, for-profit institutions.</w:t>
      </w:r>
      <w:bookmarkStart w:id="0" w:name="_GoBack"/>
      <w:bookmarkEnd w:id="0"/>
    </w:p>
    <w:sectPr w:rsidR="00BF4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InformalStd-Semi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InformalSt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InformalStd-Medium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82"/>
    <w:rsid w:val="008B2F71"/>
    <w:rsid w:val="00B05182"/>
    <w:rsid w:val="00E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3123</Words>
  <Characters>17804</Characters>
  <Application>Microsoft Office Word</Application>
  <DocSecurity>0</DocSecurity>
  <Lines>148</Lines>
  <Paragraphs>41</Paragraphs>
  <ScaleCrop>false</ScaleCrop>
  <Company>Microsoft</Company>
  <LinksUpToDate>false</LinksUpToDate>
  <CharactersWithSpaces>20886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Tahna Cooper</dc:creator>
  <cp:lastModifiedBy>Tahna Cooper</cp:lastModifiedBy>
  <cp:revision>2</cp:revision>
  <dcterms:created xsi:type="dcterms:W3CDTF">2011-10-18T00:22:00Z</dcterms:created>
  <dcterms:modified xsi:type="dcterms:W3CDTF">2011-10-18T00:23:00Z</dcterms:modified>
</cp:coreProperties>
</file>